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  <w:bookmarkStart w:id="0" w:name="_GoBack"/>
      <w:bookmarkEnd w:id="0"/>
    </w:p>
    <w:p w14:paraId="1776BFDD" w14:textId="01631100" w:rsidR="00DC4DC3" w:rsidRPr="00430F30" w:rsidRDefault="00422A76" w:rsidP="00DC4DC3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DC4DC3">
        <w:rPr>
          <w:sz w:val="44"/>
          <w:szCs w:val="44"/>
        </w:rPr>
        <w:t xml:space="preserve"> </w:t>
      </w:r>
      <w:r w:rsidR="00DC4DC3">
        <w:rPr>
          <w:sz w:val="44"/>
          <w:szCs w:val="44"/>
        </w:rPr>
        <w:t>ул. Ал</w:t>
      </w:r>
      <w:r w:rsidR="00DC4DC3">
        <w:rPr>
          <w:sz w:val="44"/>
          <w:szCs w:val="44"/>
        </w:rPr>
        <w:t>ександры Монаховой, д. 105, к. 2</w:t>
      </w:r>
    </w:p>
    <w:p w14:paraId="3438C989" w14:textId="2FCAF070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DC4DC3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DC4DC3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